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83" w:rsidRDefault="00AA2126">
      <w:pPr>
        <w:pStyle w:val="Title"/>
      </w:pPr>
      <w:r>
        <w:t>Title</w:t>
      </w:r>
    </w:p>
    <w:p w:rsidR="00452A83" w:rsidRDefault="00AA2126">
      <w:pPr>
        <w:pStyle w:val="Heading1"/>
      </w:pPr>
      <w:r>
        <w:t>Heading</w:t>
      </w:r>
    </w:p>
    <w:p w:rsidR="00452A83" w:rsidRDefault="00AA2126">
      <w:r>
        <w:t xml:space="preserve">To take advantage of this template’s design, use the Styles gallery on the Home tab. You can format your headings by using heading styles, or highlight important text using other styles, like </w:t>
      </w:r>
      <w:r w:rsidRPr="00534641">
        <w:t xml:space="preserve">Emphasis </w:t>
      </w:r>
      <w:r>
        <w:t xml:space="preserve">and </w:t>
      </w:r>
      <w:r w:rsidRPr="00534641">
        <w:t>Intense Quote</w:t>
      </w:r>
      <w:r>
        <w:t>. These styles come in formatted to look great and work together to help communicate your ideas.</w:t>
      </w:r>
    </w:p>
    <w:p w:rsidR="00452A83" w:rsidRDefault="00AA2126">
      <w:r>
        <w:t>Go ahead and get started.</w:t>
      </w:r>
    </w:p>
    <w:p w:rsidR="00534641" w:rsidRDefault="00F85572" w:rsidP="00F85572">
      <w:pPr>
        <w:pStyle w:val="Heading2"/>
      </w:pPr>
      <w:r>
        <w:t>Some Terms</w:t>
      </w:r>
    </w:p>
    <w:p w:rsidR="009050BA" w:rsidRDefault="009050BA" w:rsidP="00F85572">
      <w:r>
        <w:t>The following is at best a rough draft.</w:t>
      </w:r>
    </w:p>
    <w:p w:rsidR="00D53EBA" w:rsidRDefault="00D53EBA" w:rsidP="00F85572">
      <w:bookmarkStart w:id="0" w:name="_GoBack"/>
      <w:bookmarkEnd w:id="0"/>
      <w:r>
        <w:t>These kinds of money apply at the individual bank level and at the international level:</w:t>
      </w:r>
    </w:p>
    <w:p w:rsidR="00454DFB" w:rsidRDefault="00454DFB" w:rsidP="00454DFB">
      <w:proofErr w:type="gramStart"/>
      <w:r w:rsidRPr="008805AD">
        <w:rPr>
          <w:b/>
        </w:rPr>
        <w:t>currency</w:t>
      </w:r>
      <w:proofErr w:type="gramEnd"/>
      <w:r w:rsidRPr="008805AD">
        <w:rPr>
          <w:b/>
        </w:rPr>
        <w:t xml:space="preserve"> deposit</w:t>
      </w:r>
      <w:r>
        <w:t xml:space="preserve">.   The old fashioned demand deposit which can be withdrawn at any time for </w:t>
      </w:r>
      <w:r w:rsidR="008805AD">
        <w:t>physical cash</w:t>
      </w:r>
      <w:r>
        <w:t>.  Internationally, think “currency controls”; locally, think “a bank run at my bank”.</w:t>
      </w:r>
    </w:p>
    <w:p w:rsidR="00D53EBA" w:rsidRDefault="00D53EBA" w:rsidP="00F85572">
      <w:proofErr w:type="gramStart"/>
      <w:r w:rsidRPr="008805AD">
        <w:rPr>
          <w:b/>
        </w:rPr>
        <w:t>demand</w:t>
      </w:r>
      <w:proofErr w:type="gramEnd"/>
      <w:r w:rsidRPr="008805AD">
        <w:rPr>
          <w:b/>
        </w:rPr>
        <w:t xml:space="preserve"> deposit.</w:t>
      </w:r>
      <w:r>
        <w:t xml:space="preserve">  </w:t>
      </w:r>
      <w:proofErr w:type="gramStart"/>
      <w:r>
        <w:t>money</w:t>
      </w:r>
      <w:proofErr w:type="gramEnd"/>
      <w:r>
        <w:t xml:space="preserve"> which now has attributes assigned by the bank itself and by the government</w:t>
      </w:r>
      <w:r w:rsidR="00454DFB">
        <w:t xml:space="preserve"> concerning how much of the deposit may be </w:t>
      </w:r>
      <w:proofErr w:type="spellStart"/>
      <w:r w:rsidR="00454DFB">
        <w:t>rehypothecated</w:t>
      </w:r>
      <w:proofErr w:type="spellEnd"/>
      <w:r>
        <w:t>.</w:t>
      </w:r>
    </w:p>
    <w:p w:rsidR="008805AD" w:rsidRDefault="00454DFB" w:rsidP="00454DFB">
      <w:proofErr w:type="gramStart"/>
      <w:r w:rsidRPr="008805AD">
        <w:rPr>
          <w:b/>
        </w:rPr>
        <w:t>hot</w:t>
      </w:r>
      <w:proofErr w:type="gramEnd"/>
      <w:r w:rsidRPr="008805AD">
        <w:rPr>
          <w:b/>
        </w:rPr>
        <w:t xml:space="preserve"> money</w:t>
      </w:r>
      <w:r w:rsidRPr="008805AD">
        <w:rPr>
          <w:b/>
        </w:rPr>
        <w:t>.</w:t>
      </w:r>
      <w:r>
        <w:t xml:space="preserve">  </w:t>
      </w:r>
      <w:proofErr w:type="gramStart"/>
      <w:r>
        <w:t>money</w:t>
      </w:r>
      <w:proofErr w:type="gramEnd"/>
      <w:r>
        <w:t xml:space="preserve"> </w:t>
      </w:r>
      <w:r w:rsidR="007B022E">
        <w:t xml:space="preserve">deemed risky </w:t>
      </w:r>
      <w:r w:rsidR="008805AD">
        <w:t xml:space="preserve">(not suitable for </w:t>
      </w:r>
      <w:proofErr w:type="spellStart"/>
      <w:r w:rsidR="008805AD">
        <w:t>rehypothecation</w:t>
      </w:r>
      <w:proofErr w:type="spellEnd"/>
      <w:r w:rsidR="008805AD">
        <w:t xml:space="preserve">) by </w:t>
      </w:r>
      <w:r w:rsidR="007B022E">
        <w:t>regulators</w:t>
      </w:r>
      <w:r w:rsidR="008805AD">
        <w:t xml:space="preserve">. </w:t>
      </w:r>
      <w:r w:rsidR="007B022E">
        <w:t xml:space="preserve"> </w:t>
      </w:r>
      <w:r w:rsidR="008805AD">
        <w:t xml:space="preserve">It is </w:t>
      </w:r>
      <w:r>
        <w:t xml:space="preserve">likely to be withdrawn or transferred to another bank </w:t>
      </w:r>
    </w:p>
    <w:p w:rsidR="008805AD" w:rsidRDefault="00454DFB" w:rsidP="008805AD">
      <w:pPr>
        <w:pStyle w:val="ListParagraph"/>
        <w:numPr>
          <w:ilvl w:val="0"/>
          <w:numId w:val="13"/>
        </w:numPr>
      </w:pPr>
      <w:r>
        <w:t xml:space="preserve">in a time of </w:t>
      </w:r>
      <w:r w:rsidR="008805AD">
        <w:t xml:space="preserve">financial </w:t>
      </w:r>
      <w:r>
        <w:t xml:space="preserve">crisis, </w:t>
      </w:r>
    </w:p>
    <w:p w:rsidR="008805AD" w:rsidRDefault="00454DFB" w:rsidP="008805AD">
      <w:pPr>
        <w:pStyle w:val="ListParagraph"/>
        <w:numPr>
          <w:ilvl w:val="0"/>
          <w:numId w:val="13"/>
        </w:numPr>
      </w:pPr>
      <w:r>
        <w:t xml:space="preserve">when a financial sea change offers a better opportunity than simply waiting for a better opportunity, </w:t>
      </w:r>
    </w:p>
    <w:p w:rsidR="008805AD" w:rsidRDefault="00454DFB" w:rsidP="008805AD">
      <w:pPr>
        <w:pStyle w:val="ListParagraph"/>
        <w:numPr>
          <w:ilvl w:val="0"/>
          <w:numId w:val="13"/>
        </w:numPr>
      </w:pPr>
      <w:r>
        <w:t xml:space="preserve">when the current bank is seen as failing (your typical bank run), or </w:t>
      </w:r>
    </w:p>
    <w:p w:rsidR="00454DFB" w:rsidRDefault="00454DFB" w:rsidP="008805AD">
      <w:pPr>
        <w:pStyle w:val="ListParagraph"/>
        <w:numPr>
          <w:ilvl w:val="0"/>
          <w:numId w:val="13"/>
        </w:numPr>
      </w:pPr>
      <w:proofErr w:type="gramStart"/>
      <w:r>
        <w:t>when</w:t>
      </w:r>
      <w:proofErr w:type="gramEnd"/>
      <w:r>
        <w:t xml:space="preserve"> the FX prospects seem seriously adverse.</w:t>
      </w:r>
    </w:p>
    <w:p w:rsidR="00D53EBA" w:rsidRPr="00C83241" w:rsidRDefault="00C83241" w:rsidP="00F85572">
      <w:r>
        <w:t xml:space="preserve">It also is likely to </w:t>
      </w:r>
      <w:r>
        <w:t>involve a concomitant forex transaction affecting central bank books.</w:t>
      </w:r>
    </w:p>
    <w:p w:rsidR="00534641" w:rsidRDefault="00534641" w:rsidP="00534641">
      <w:pPr>
        <w:pStyle w:val="Heading1"/>
      </w:pPr>
      <w:r w:rsidRPr="00534641">
        <w:t>Big Banks to America’s Firms: We Don’t Want Your Cash</w:t>
      </w:r>
    </w:p>
    <w:p w:rsid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Pr>
          <w:rFonts w:ascii="Times New Roman" w:eastAsia="Times New Roman" w:hAnsi="Times New Roman" w:cs="Times New Roman"/>
          <w:color w:val="333333"/>
          <w:sz w:val="24"/>
          <w:szCs w:val="24"/>
          <w:lang w:eastAsia="en-US"/>
        </w:rPr>
        <w:t xml:space="preserve">From: </w:t>
      </w:r>
      <w:hyperlink r:id="rId6" w:history="1">
        <w:r w:rsidRPr="000A2D26">
          <w:rPr>
            <w:rStyle w:val="Hyperlink"/>
            <w:rFonts w:ascii="Times New Roman" w:eastAsia="Times New Roman" w:hAnsi="Times New Roman" w:cs="Times New Roman"/>
            <w:sz w:val="24"/>
            <w:szCs w:val="24"/>
            <w:lang w:eastAsia="en-US"/>
          </w:rPr>
          <w:t>http://www.wsj.com/articles/big-banks-to-americas-companies-we-dont-want-your-cash-1445161083</w:t>
        </w:r>
      </w:hyperlink>
      <w:r>
        <w:rPr>
          <w:rFonts w:ascii="Times New Roman" w:eastAsia="Times New Roman" w:hAnsi="Times New Roman" w:cs="Times New Roman"/>
          <w:color w:val="333333"/>
          <w:sz w:val="24"/>
          <w:szCs w:val="24"/>
          <w:lang w:eastAsia="en-US"/>
        </w:rPr>
        <w:t xml:space="preserve"> </w:t>
      </w:r>
    </w:p>
    <w:p w:rsid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Pr>
          <w:rFonts w:ascii="Arial" w:hAnsi="Arial" w:cs="Arial"/>
          <w:color w:val="666666"/>
          <w:sz w:val="20"/>
          <w:szCs w:val="20"/>
        </w:rPr>
        <w:t>Oct. 18, 2015 5:38 a.m. ET</w:t>
      </w:r>
    </w:p>
    <w:p w:rsid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lastRenderedPageBreak/>
        <w:t>U.S. banks are going to new lengths to ward off a surprising threat to their financial health: big cash deposits.</w:t>
      </w:r>
    </w:p>
    <w:p w:rsidR="00534641" w:rsidRPr="00534641" w:rsidRDefault="009050BA" w:rsidP="00534641">
      <w:pPr>
        <w:spacing w:after="0" w:line="420" w:lineRule="atLeast"/>
        <w:textAlignment w:val="baseline"/>
        <w:rPr>
          <w:rFonts w:ascii="Times New Roman" w:eastAsia="Times New Roman" w:hAnsi="Times New Roman" w:cs="Times New Roman"/>
          <w:color w:val="333333"/>
          <w:sz w:val="24"/>
          <w:szCs w:val="24"/>
          <w:lang w:eastAsia="en-US"/>
        </w:rPr>
      </w:pPr>
      <w:hyperlink r:id="rId7" w:history="1">
        <w:r w:rsidR="00534641" w:rsidRPr="00CD064D">
          <w:rPr>
            <w:rFonts w:ascii="Times New Roman" w:eastAsia="Times New Roman" w:hAnsi="Times New Roman" w:cs="Times New Roman"/>
            <w:color w:val="0080C3"/>
            <w:sz w:val="24"/>
            <w:szCs w:val="24"/>
            <w:highlight w:val="yellow"/>
            <w:lang w:eastAsia="en-US"/>
          </w:rPr>
          <w:t>State Street</w:t>
        </w:r>
      </w:hyperlink>
      <w:r w:rsidR="00534641" w:rsidRPr="00CD064D">
        <w:rPr>
          <w:rFonts w:ascii="Times New Roman" w:eastAsia="Times New Roman" w:hAnsi="Times New Roman" w:cs="Times New Roman"/>
          <w:color w:val="333333"/>
          <w:sz w:val="24"/>
          <w:szCs w:val="24"/>
          <w:highlight w:val="yellow"/>
          <w:bdr w:val="none" w:sz="0" w:space="0" w:color="auto" w:frame="1"/>
          <w:lang w:eastAsia="en-US"/>
        </w:rPr>
        <w:t> Corp.</w:t>
      </w:r>
      <w:r w:rsidR="00534641" w:rsidRPr="00534641">
        <w:rPr>
          <w:rFonts w:ascii="Times New Roman" w:eastAsia="Times New Roman" w:hAnsi="Times New Roman" w:cs="Times New Roman"/>
          <w:color w:val="333333"/>
          <w:sz w:val="24"/>
          <w:szCs w:val="24"/>
          <w:lang w:eastAsia="en-US"/>
        </w:rPr>
        <w:t>, the Boston bank that manages assets for institutional investors, for the first time has begun charging some customers for large dollar deposits, people familiar with the matter said</w:t>
      </w:r>
      <w:r w:rsidR="00534641" w:rsidRPr="00CD064D">
        <w:rPr>
          <w:rFonts w:ascii="Times New Roman" w:eastAsia="Times New Roman" w:hAnsi="Times New Roman" w:cs="Times New Roman"/>
          <w:color w:val="333333"/>
          <w:sz w:val="24"/>
          <w:szCs w:val="24"/>
          <w:highlight w:val="yellow"/>
          <w:lang w:eastAsia="en-US"/>
        </w:rPr>
        <w:t>. </w:t>
      </w:r>
      <w:hyperlink r:id="rId8" w:history="1">
        <w:r w:rsidR="00534641" w:rsidRPr="00CD064D">
          <w:rPr>
            <w:rFonts w:ascii="Times New Roman" w:eastAsia="Times New Roman" w:hAnsi="Times New Roman" w:cs="Times New Roman"/>
            <w:color w:val="0080C3"/>
            <w:sz w:val="24"/>
            <w:szCs w:val="24"/>
            <w:highlight w:val="yellow"/>
            <w:lang w:eastAsia="en-US"/>
          </w:rPr>
          <w:t>J.P. Morgan Chase</w:t>
        </w:r>
      </w:hyperlink>
      <w:r w:rsidR="00534641" w:rsidRPr="00CD064D">
        <w:rPr>
          <w:rFonts w:ascii="Times New Roman" w:eastAsia="Times New Roman" w:hAnsi="Times New Roman" w:cs="Times New Roman"/>
          <w:color w:val="333333"/>
          <w:sz w:val="24"/>
          <w:szCs w:val="24"/>
          <w:highlight w:val="yellow"/>
          <w:lang w:eastAsia="en-US"/>
        </w:rPr>
        <w:t> &amp; Co.</w:t>
      </w:r>
      <w:r w:rsidR="00534641" w:rsidRPr="00534641">
        <w:rPr>
          <w:rFonts w:ascii="Times New Roman" w:eastAsia="Times New Roman" w:hAnsi="Times New Roman" w:cs="Times New Roman"/>
          <w:color w:val="333333"/>
          <w:sz w:val="24"/>
          <w:szCs w:val="24"/>
          <w:lang w:eastAsia="en-US"/>
        </w:rPr>
        <w:t xml:space="preserve">, the nation’s largest bank by assets, has cut </w:t>
      </w:r>
      <w:r w:rsidR="00534641" w:rsidRPr="000D7FE3">
        <w:rPr>
          <w:rFonts w:ascii="Times New Roman" w:eastAsia="Times New Roman" w:hAnsi="Times New Roman" w:cs="Times New Roman"/>
          <w:color w:val="333333"/>
          <w:sz w:val="24"/>
          <w:szCs w:val="24"/>
          <w:highlight w:val="yellow"/>
          <w:lang w:eastAsia="en-US"/>
        </w:rPr>
        <w:t>unwanted deposits</w:t>
      </w:r>
      <w:r w:rsidR="00534641" w:rsidRPr="00534641">
        <w:rPr>
          <w:rFonts w:ascii="Times New Roman" w:eastAsia="Times New Roman" w:hAnsi="Times New Roman" w:cs="Times New Roman"/>
          <w:color w:val="333333"/>
          <w:sz w:val="24"/>
          <w:szCs w:val="24"/>
          <w:lang w:eastAsia="en-US"/>
        </w:rPr>
        <w:t xml:space="preserve"> by more than $150 billion this year, in part by charging fees.</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The developments underscore a deepening conflict over </w:t>
      </w:r>
      <w:r w:rsidRPr="000D7FE3">
        <w:rPr>
          <w:rFonts w:ascii="Times New Roman" w:eastAsia="Times New Roman" w:hAnsi="Times New Roman" w:cs="Times New Roman"/>
          <w:color w:val="333333"/>
          <w:sz w:val="24"/>
          <w:szCs w:val="24"/>
          <w:highlight w:val="yellow"/>
          <w:lang w:eastAsia="en-US"/>
        </w:rPr>
        <w:t>cash</w:t>
      </w:r>
      <w:r w:rsidRPr="00534641">
        <w:rPr>
          <w:rFonts w:ascii="Times New Roman" w:eastAsia="Times New Roman" w:hAnsi="Times New Roman" w:cs="Times New Roman"/>
          <w:color w:val="333333"/>
          <w:sz w:val="24"/>
          <w:szCs w:val="24"/>
          <w:lang w:eastAsia="en-US"/>
        </w:rPr>
        <w:t>. Many businesses have large sums on hand and opportunities to profitably invest it appear scarce. But </w:t>
      </w:r>
      <w:hyperlink r:id="rId9" w:tgtFrame="_self" w:history="1">
        <w:r w:rsidRPr="00534641">
          <w:rPr>
            <w:rFonts w:ascii="Times New Roman" w:eastAsia="Times New Roman" w:hAnsi="Times New Roman" w:cs="Times New Roman"/>
            <w:color w:val="0080C3"/>
            <w:sz w:val="24"/>
            <w:szCs w:val="24"/>
            <w:lang w:eastAsia="en-US"/>
          </w:rPr>
          <w:t>banks don’t want certain kinds of cash either</w:t>
        </w:r>
      </w:hyperlink>
      <w:r w:rsidRPr="00534641">
        <w:rPr>
          <w:rFonts w:ascii="Times New Roman" w:eastAsia="Times New Roman" w:hAnsi="Times New Roman" w:cs="Times New Roman"/>
          <w:color w:val="333333"/>
          <w:sz w:val="24"/>
          <w:szCs w:val="24"/>
          <w:lang w:eastAsia="en-US"/>
        </w:rPr>
        <w:t xml:space="preserve">, judging it </w:t>
      </w:r>
      <w:r w:rsidRPr="000D7FE3">
        <w:rPr>
          <w:rFonts w:ascii="Times New Roman" w:eastAsia="Times New Roman" w:hAnsi="Times New Roman" w:cs="Times New Roman"/>
          <w:color w:val="333333"/>
          <w:sz w:val="24"/>
          <w:szCs w:val="24"/>
          <w:highlight w:val="yellow"/>
          <w:lang w:eastAsia="en-US"/>
        </w:rPr>
        <w:t>costly to keep</w:t>
      </w:r>
      <w:r w:rsidRPr="00534641">
        <w:rPr>
          <w:rFonts w:ascii="Times New Roman" w:eastAsia="Times New Roman" w:hAnsi="Times New Roman" w:cs="Times New Roman"/>
          <w:color w:val="333333"/>
          <w:sz w:val="24"/>
          <w:szCs w:val="24"/>
          <w:lang w:eastAsia="en-US"/>
        </w:rPr>
        <w:t>, and some are imposing fees after jawboning customers to move it.</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The banks’ actions are driven by </w:t>
      </w:r>
      <w:hyperlink r:id="rId10" w:tgtFrame="_self" w:history="1">
        <w:r w:rsidRPr="00534641">
          <w:rPr>
            <w:rFonts w:ascii="Times New Roman" w:eastAsia="Times New Roman" w:hAnsi="Times New Roman" w:cs="Times New Roman"/>
            <w:color w:val="0080C3"/>
            <w:sz w:val="24"/>
            <w:szCs w:val="24"/>
            <w:lang w:eastAsia="en-US"/>
          </w:rPr>
          <w:t>profit-crunching low interest rates </w:t>
        </w:r>
      </w:hyperlink>
      <w:r w:rsidRPr="00534641">
        <w:rPr>
          <w:rFonts w:ascii="Times New Roman" w:eastAsia="Times New Roman" w:hAnsi="Times New Roman" w:cs="Times New Roman"/>
          <w:color w:val="333333"/>
          <w:sz w:val="24"/>
          <w:szCs w:val="24"/>
          <w:lang w:eastAsia="en-US"/>
        </w:rPr>
        <w:t xml:space="preserve">and regulations adopted since the financial crisis to </w:t>
      </w:r>
      <w:r w:rsidRPr="000D7FE3">
        <w:rPr>
          <w:rFonts w:ascii="Times New Roman" w:eastAsia="Times New Roman" w:hAnsi="Times New Roman" w:cs="Times New Roman"/>
          <w:color w:val="333333"/>
          <w:sz w:val="24"/>
          <w:szCs w:val="24"/>
          <w:highlight w:val="yellow"/>
          <w:lang w:eastAsia="en-US"/>
        </w:rPr>
        <w:t>gird banks against funding disruptions</w:t>
      </w:r>
      <w:r w:rsidRPr="00534641">
        <w:rPr>
          <w:rFonts w:ascii="Times New Roman" w:eastAsia="Times New Roman" w:hAnsi="Times New Roman" w:cs="Times New Roman"/>
          <w:color w:val="333333"/>
          <w:sz w:val="24"/>
          <w:szCs w:val="24"/>
          <w:lang w:eastAsia="en-US"/>
        </w:rPr>
        <w:t>.</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The latest fees center on large sums </w:t>
      </w:r>
      <w:hyperlink r:id="rId11" w:tgtFrame="_self" w:history="1">
        <w:r w:rsidRPr="00534641">
          <w:rPr>
            <w:rFonts w:ascii="Times New Roman" w:eastAsia="Times New Roman" w:hAnsi="Times New Roman" w:cs="Times New Roman"/>
            <w:color w:val="0080C3"/>
            <w:sz w:val="24"/>
            <w:szCs w:val="24"/>
            <w:lang w:eastAsia="en-US"/>
          </w:rPr>
          <w:t>deemed risky by regulators</w:t>
        </w:r>
      </w:hyperlink>
      <w:r w:rsidRPr="00534641">
        <w:rPr>
          <w:rFonts w:ascii="Times New Roman" w:eastAsia="Times New Roman" w:hAnsi="Times New Roman" w:cs="Times New Roman"/>
          <w:color w:val="333333"/>
          <w:sz w:val="24"/>
          <w:szCs w:val="24"/>
          <w:lang w:eastAsia="en-US"/>
        </w:rPr>
        <w:t xml:space="preserve">, sometimes dubbed </w:t>
      </w:r>
      <w:r w:rsidRPr="000D7FE3">
        <w:rPr>
          <w:rFonts w:ascii="Times New Roman" w:eastAsia="Times New Roman" w:hAnsi="Times New Roman" w:cs="Times New Roman"/>
          <w:color w:val="333333"/>
          <w:sz w:val="24"/>
          <w:szCs w:val="24"/>
          <w:highlight w:val="yellow"/>
          <w:lang w:eastAsia="en-US"/>
        </w:rPr>
        <w:t>hot-money</w:t>
      </w:r>
      <w:r w:rsidRPr="00534641">
        <w:rPr>
          <w:rFonts w:ascii="Times New Roman" w:eastAsia="Times New Roman" w:hAnsi="Times New Roman" w:cs="Times New Roman"/>
          <w:color w:val="333333"/>
          <w:sz w:val="24"/>
          <w:szCs w:val="24"/>
          <w:lang w:eastAsia="en-US"/>
        </w:rPr>
        <w:t xml:space="preserve"> deposits thought likely to flee during times of crises. Finalized last September and overseen by the Federal Reserve and other regulators, the rule involving the liquidity coverage ratio forces banks to hold high-quality liquid assets, such as central bank reserves and government debt, to cover projected deposit losses over 30 days. Banks must hold reserves of as much as 40% against </w:t>
      </w:r>
      <w:r w:rsidRPr="000D7FE3">
        <w:rPr>
          <w:rFonts w:ascii="Times New Roman" w:eastAsia="Times New Roman" w:hAnsi="Times New Roman" w:cs="Times New Roman"/>
          <w:color w:val="333333"/>
          <w:sz w:val="24"/>
          <w:szCs w:val="24"/>
          <w:highlight w:val="yellow"/>
          <w:lang w:eastAsia="en-US"/>
        </w:rPr>
        <w:t>certain</w:t>
      </w:r>
      <w:r w:rsidRPr="00534641">
        <w:rPr>
          <w:rFonts w:ascii="Times New Roman" w:eastAsia="Times New Roman" w:hAnsi="Times New Roman" w:cs="Times New Roman"/>
          <w:color w:val="333333"/>
          <w:sz w:val="24"/>
          <w:szCs w:val="24"/>
          <w:lang w:eastAsia="en-US"/>
        </w:rPr>
        <w:t xml:space="preserve"> corporate deposits and </w:t>
      </w:r>
      <w:r w:rsidRPr="000D7FE3">
        <w:rPr>
          <w:rFonts w:ascii="Times New Roman" w:eastAsia="Times New Roman" w:hAnsi="Times New Roman" w:cs="Times New Roman"/>
          <w:color w:val="333333"/>
          <w:sz w:val="24"/>
          <w:szCs w:val="24"/>
          <w:highlight w:val="yellow"/>
          <w:lang w:eastAsia="en-US"/>
        </w:rPr>
        <w:t>as much as 100% against some deposits from hedge funds</w:t>
      </w:r>
      <w:r w:rsidRPr="00534641">
        <w:rPr>
          <w:rFonts w:ascii="Times New Roman" w:eastAsia="Times New Roman" w:hAnsi="Times New Roman" w:cs="Times New Roman"/>
          <w:color w:val="333333"/>
          <w:sz w:val="24"/>
          <w:szCs w:val="24"/>
          <w:lang w:eastAsia="en-US"/>
        </w:rPr>
        <w:t>.</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“At some point you wonder whether there will be a shortage of financial institutions willing to take on </w:t>
      </w:r>
      <w:r w:rsidRPr="000D7FE3">
        <w:rPr>
          <w:rFonts w:ascii="Times New Roman" w:eastAsia="Times New Roman" w:hAnsi="Times New Roman" w:cs="Times New Roman"/>
          <w:color w:val="333333"/>
          <w:sz w:val="24"/>
          <w:szCs w:val="24"/>
          <w:highlight w:val="yellow"/>
          <w:lang w:eastAsia="en-US"/>
        </w:rPr>
        <w:t>these balances</w:t>
      </w:r>
      <w:r w:rsidRPr="00534641">
        <w:rPr>
          <w:rFonts w:ascii="Times New Roman" w:eastAsia="Times New Roman" w:hAnsi="Times New Roman" w:cs="Times New Roman"/>
          <w:color w:val="333333"/>
          <w:sz w:val="24"/>
          <w:szCs w:val="24"/>
          <w:lang w:eastAsia="en-US"/>
        </w:rPr>
        <w:t xml:space="preserve">,” said Kelli Moll, head of Akin Gump Strauss </w:t>
      </w:r>
      <w:proofErr w:type="spellStart"/>
      <w:r w:rsidRPr="00534641">
        <w:rPr>
          <w:rFonts w:ascii="Times New Roman" w:eastAsia="Times New Roman" w:hAnsi="Times New Roman" w:cs="Times New Roman"/>
          <w:color w:val="333333"/>
          <w:sz w:val="24"/>
          <w:szCs w:val="24"/>
          <w:lang w:eastAsia="en-US"/>
        </w:rPr>
        <w:t>Hauer</w:t>
      </w:r>
      <w:proofErr w:type="spellEnd"/>
      <w:r w:rsidRPr="00534641">
        <w:rPr>
          <w:rFonts w:ascii="Times New Roman" w:eastAsia="Times New Roman" w:hAnsi="Times New Roman" w:cs="Times New Roman"/>
          <w:color w:val="333333"/>
          <w:sz w:val="24"/>
          <w:szCs w:val="24"/>
          <w:lang w:eastAsia="en-US"/>
        </w:rPr>
        <w:t xml:space="preserve"> &amp; Feld LLP’s hedge-fund practice in New York, saying that where to hold cash has become an increasing topic of conversation as hedge funds are shown the door by long-time banking counterparties.</w:t>
      </w:r>
    </w:p>
    <w:p w:rsidR="00534641" w:rsidRPr="00534641" w:rsidRDefault="00534641" w:rsidP="00534641">
      <w:pPr>
        <w:shd w:val="clear" w:color="auto" w:fill="FFFFFF"/>
        <w:spacing w:line="240" w:lineRule="auto"/>
        <w:textAlignment w:val="baseline"/>
        <w:rPr>
          <w:rFonts w:ascii="Arial" w:eastAsia="Times New Roman" w:hAnsi="Arial" w:cs="Arial"/>
          <w:color w:val="333333"/>
          <w:sz w:val="15"/>
          <w:szCs w:val="15"/>
          <w:lang w:eastAsia="en-US"/>
        </w:rPr>
      </w:pPr>
      <w:r w:rsidRPr="00534641">
        <w:rPr>
          <w:rFonts w:ascii="Arial" w:eastAsia="Times New Roman" w:hAnsi="Arial" w:cs="Arial"/>
          <w:noProof/>
          <w:color w:val="333333"/>
          <w:sz w:val="15"/>
          <w:szCs w:val="15"/>
          <w:lang w:eastAsia="en-US"/>
        </w:rPr>
        <w:lastRenderedPageBreak/>
        <w:drawing>
          <wp:inline distT="0" distB="0" distL="0" distR="0">
            <wp:extent cx="2584174" cy="2225267"/>
            <wp:effectExtent l="0" t="0" r="6985" b="3810"/>
            <wp:docPr id="1" name="Picture 1" descr="http://si.wsj.net/public/resources/images/MI-CM257_HOTMON_9U_2015101618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wsj.net/public/resources/images/MI-CM257_HOTMON_9U_201510161815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2452" cy="2275451"/>
                    </a:xfrm>
                    <a:prstGeom prst="rect">
                      <a:avLst/>
                    </a:prstGeom>
                    <a:noFill/>
                    <a:ln>
                      <a:noFill/>
                    </a:ln>
                  </pic:spPr>
                </pic:pic>
              </a:graphicData>
            </a:graphic>
          </wp:inline>
        </w:drawing>
      </w:r>
      <w:r w:rsidRPr="00534641">
        <w:rPr>
          <w:rFonts w:ascii="Arial" w:eastAsia="Times New Roman" w:hAnsi="Arial" w:cs="Arial"/>
          <w:color w:val="333333"/>
          <w:sz w:val="15"/>
          <w:szCs w:val="15"/>
          <w:bdr w:val="none" w:sz="0" w:space="0" w:color="auto" w:frame="1"/>
          <w:lang w:eastAsia="en-US"/>
        </w:rPr>
        <w:t>ENLARGE</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The push comes as the globe is awash in cash, reflecting soft economic growth and low interest rates that limit investment. Some asset managers have been increasing the amount of cash they are holding in their portfolios, in part because of an increased focus by the Securities and Exchange Commission on liquidity management in mutual funds.</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Domestic deposits at U.S. banks in the second quarter hit $10.59 trillion, up 38% from five years earlier, Federal Deposit Insurance Corp. data show. Loans outstanding at U.S. banks as a share of total deposits tumbled to 71% from 78% in 2010 and 92% in mid-2007, before the financial crisis, the data show.</w:t>
      </w:r>
    </w:p>
    <w:p w:rsidR="00534641" w:rsidRDefault="00534641" w:rsidP="00534641"/>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Domestic deposits at U.S. banks in the second quarter hit $10.59 trillion, up 38% from five years earlier, Federal Deposit Insurance Corp. data show. Loans outstanding at U.S. banks as a share of total deposits tumbled to 71% from 78% in 2010 and 92% in mid-2007, before the financial crisis, the data show.</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Jerome Schneider, head of Pacific Investment Management Co.’s short-term and funding desk, which advises corporate and institutional clients, said that as a result of the bank actions, he and his customers have discussed as cash alternatives boosting investments in U.S. Treasury bonds, ultrashort-duration bond funds and money-market funds.</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When it comes to cash, Mr. Schneider said, “Clients have been put on warning.”</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lastRenderedPageBreak/>
        <w:t>Auctions for one- and three-month Treasury bills this week sold bills at zero yields, reflecting outsize demand for the securities.</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0D7FE3">
        <w:rPr>
          <w:rFonts w:ascii="Times New Roman" w:eastAsia="Times New Roman" w:hAnsi="Times New Roman" w:cs="Times New Roman"/>
          <w:color w:val="333333"/>
          <w:sz w:val="24"/>
          <w:szCs w:val="24"/>
          <w:highlight w:val="yellow"/>
          <w:lang w:eastAsia="en-US"/>
        </w:rPr>
        <w:t>Few banks disclose how much in “</w:t>
      </w:r>
      <w:proofErr w:type="spellStart"/>
      <w:r w:rsidRPr="000D7FE3">
        <w:rPr>
          <w:rFonts w:ascii="Times New Roman" w:eastAsia="Times New Roman" w:hAnsi="Times New Roman" w:cs="Times New Roman"/>
          <w:color w:val="333333"/>
          <w:sz w:val="24"/>
          <w:szCs w:val="24"/>
          <w:highlight w:val="yellow"/>
          <w:lang w:eastAsia="en-US"/>
        </w:rPr>
        <w:t>nonoperating</w:t>
      </w:r>
      <w:proofErr w:type="spellEnd"/>
      <w:r w:rsidRPr="000D7FE3">
        <w:rPr>
          <w:rFonts w:ascii="Times New Roman" w:eastAsia="Times New Roman" w:hAnsi="Times New Roman" w:cs="Times New Roman"/>
          <w:color w:val="333333"/>
          <w:sz w:val="24"/>
          <w:szCs w:val="24"/>
          <w:highlight w:val="yellow"/>
          <w:lang w:eastAsia="en-US"/>
        </w:rPr>
        <w:t>” deposits they hold</w:t>
      </w:r>
      <w:r w:rsidRPr="00534641">
        <w:rPr>
          <w:rFonts w:ascii="Times New Roman" w:eastAsia="Times New Roman" w:hAnsi="Times New Roman" w:cs="Times New Roman"/>
          <w:color w:val="333333"/>
          <w:sz w:val="24"/>
          <w:szCs w:val="24"/>
          <w:lang w:eastAsia="en-US"/>
        </w:rPr>
        <w:t>. </w:t>
      </w:r>
      <w:hyperlink r:id="rId13" w:history="1">
        <w:r w:rsidRPr="00534641">
          <w:rPr>
            <w:rFonts w:ascii="Times New Roman" w:eastAsia="Times New Roman" w:hAnsi="Times New Roman" w:cs="Times New Roman"/>
            <w:color w:val="0080C3"/>
            <w:sz w:val="24"/>
            <w:szCs w:val="24"/>
            <w:lang w:eastAsia="en-US"/>
          </w:rPr>
          <w:t xml:space="preserve">Credit Suisse </w:t>
        </w:r>
        <w:proofErr w:type="spellStart"/>
        <w:r w:rsidRPr="00534641">
          <w:rPr>
            <w:rFonts w:ascii="Times New Roman" w:eastAsia="Times New Roman" w:hAnsi="Times New Roman" w:cs="Times New Roman"/>
            <w:color w:val="0080C3"/>
            <w:sz w:val="24"/>
            <w:szCs w:val="24"/>
            <w:lang w:eastAsia="en-US"/>
          </w:rPr>
          <w:t>Group</w:t>
        </w:r>
      </w:hyperlink>
      <w:r w:rsidRPr="00534641">
        <w:rPr>
          <w:rFonts w:ascii="Times New Roman" w:eastAsia="Times New Roman" w:hAnsi="Times New Roman" w:cs="Times New Roman"/>
          <w:color w:val="333333"/>
          <w:sz w:val="24"/>
          <w:szCs w:val="24"/>
          <w:bdr w:val="none" w:sz="0" w:space="0" w:color="auto" w:frame="1"/>
          <w:lang w:eastAsia="en-US"/>
        </w:rPr>
        <w:t>AG</w:t>
      </w:r>
      <w:proofErr w:type="spellEnd"/>
      <w:r w:rsidRPr="00534641">
        <w:rPr>
          <w:rFonts w:ascii="Times New Roman" w:eastAsia="Times New Roman" w:hAnsi="Times New Roman" w:cs="Times New Roman"/>
          <w:color w:val="333333"/>
          <w:sz w:val="24"/>
          <w:szCs w:val="24"/>
          <w:lang w:eastAsia="en-US"/>
        </w:rPr>
        <w:t xml:space="preserve"> analysts estimated in August that the top four U.S. banks by assets hold roughly $650 billion in those </w:t>
      </w:r>
      <w:r w:rsidRPr="000D7FE3">
        <w:rPr>
          <w:rFonts w:ascii="Times New Roman" w:eastAsia="Times New Roman" w:hAnsi="Times New Roman" w:cs="Times New Roman"/>
          <w:color w:val="333333"/>
          <w:sz w:val="24"/>
          <w:szCs w:val="24"/>
          <w:highlight w:val="yellow"/>
          <w:lang w:eastAsia="en-US"/>
        </w:rPr>
        <w:t>deposits that require the highest levels of reserves</w:t>
      </w:r>
      <w:r w:rsidRPr="00534641">
        <w:rPr>
          <w:rFonts w:ascii="Times New Roman" w:eastAsia="Times New Roman" w:hAnsi="Times New Roman" w:cs="Times New Roman"/>
          <w:color w:val="333333"/>
          <w:sz w:val="24"/>
          <w:szCs w:val="24"/>
          <w:lang w:eastAsia="en-US"/>
        </w:rPr>
        <w:t>.</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Banks are struggling to generate returns for investors. A low-interest rate environment squeezes bank profits by narrowing the spread between the rate they lend at and their borrowing, or funding, cost.</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Some analysts have been predicting rates would rebound, likely boosting bank profits, but that hasn’t happened. This year, slowing growth in China and recessions in some major emerging-market nations have dimmed expectations that the Federal Reserve will raise interest rates this year.</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The KBW </w:t>
      </w:r>
      <w:proofErr w:type="gramStart"/>
      <w:r w:rsidRPr="00534641">
        <w:rPr>
          <w:rFonts w:ascii="Times New Roman" w:eastAsia="Times New Roman" w:hAnsi="Times New Roman" w:cs="Times New Roman"/>
          <w:color w:val="333333"/>
          <w:sz w:val="24"/>
          <w:szCs w:val="24"/>
          <w:lang w:eastAsia="en-US"/>
        </w:rPr>
        <w:t>Nasdaq</w:t>
      </w:r>
      <w:proofErr w:type="gramEnd"/>
      <w:r w:rsidRPr="00534641">
        <w:rPr>
          <w:rFonts w:ascii="Times New Roman" w:eastAsia="Times New Roman" w:hAnsi="Times New Roman" w:cs="Times New Roman"/>
          <w:color w:val="333333"/>
          <w:sz w:val="24"/>
          <w:szCs w:val="24"/>
          <w:lang w:eastAsia="en-US"/>
        </w:rPr>
        <w:t xml:space="preserve"> Bank Index of large commercial banks has dropped about 9% since July as rate-increase expectations waned.</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Deposit fees are particularly significant at </w:t>
      </w:r>
      <w:r w:rsidRPr="00CD064D">
        <w:rPr>
          <w:rFonts w:ascii="Times New Roman" w:eastAsia="Times New Roman" w:hAnsi="Times New Roman" w:cs="Times New Roman"/>
          <w:color w:val="333333"/>
          <w:sz w:val="24"/>
          <w:szCs w:val="24"/>
          <w:highlight w:val="yellow"/>
          <w:lang w:eastAsia="en-US"/>
        </w:rPr>
        <w:t>State Street</w:t>
      </w:r>
      <w:r w:rsidRPr="00534641">
        <w:rPr>
          <w:rFonts w:ascii="Times New Roman" w:eastAsia="Times New Roman" w:hAnsi="Times New Roman" w:cs="Times New Roman"/>
          <w:color w:val="333333"/>
          <w:sz w:val="24"/>
          <w:szCs w:val="24"/>
          <w:lang w:eastAsia="en-US"/>
        </w:rPr>
        <w:t xml:space="preserve"> because </w:t>
      </w:r>
      <w:r w:rsidRPr="00CD064D">
        <w:rPr>
          <w:rFonts w:ascii="Times New Roman" w:eastAsia="Times New Roman" w:hAnsi="Times New Roman" w:cs="Times New Roman"/>
          <w:color w:val="333333"/>
          <w:sz w:val="24"/>
          <w:szCs w:val="24"/>
          <w:highlight w:val="yellow"/>
          <w:lang w:eastAsia="en-US"/>
        </w:rPr>
        <w:t xml:space="preserve">its primary business is </w:t>
      </w:r>
      <w:proofErr w:type="spellStart"/>
      <w:r w:rsidRPr="00CD064D">
        <w:rPr>
          <w:rFonts w:ascii="Times New Roman" w:eastAsia="Times New Roman" w:hAnsi="Times New Roman" w:cs="Times New Roman"/>
          <w:color w:val="333333"/>
          <w:sz w:val="24"/>
          <w:szCs w:val="24"/>
          <w:highlight w:val="yellow"/>
          <w:lang w:eastAsia="en-US"/>
        </w:rPr>
        <w:t>custodying</w:t>
      </w:r>
      <w:proofErr w:type="spellEnd"/>
      <w:r w:rsidRPr="00CD064D">
        <w:rPr>
          <w:rFonts w:ascii="Times New Roman" w:eastAsia="Times New Roman" w:hAnsi="Times New Roman" w:cs="Times New Roman"/>
          <w:color w:val="333333"/>
          <w:sz w:val="24"/>
          <w:szCs w:val="24"/>
          <w:highlight w:val="yellow"/>
          <w:lang w:eastAsia="en-US"/>
        </w:rPr>
        <w:t xml:space="preserve"> client assets, including holding cash for clients rather than seeking to lend out those funds</w:t>
      </w:r>
      <w:r w:rsidRPr="00534641">
        <w:rPr>
          <w:rFonts w:ascii="Times New Roman" w:eastAsia="Times New Roman" w:hAnsi="Times New Roman" w:cs="Times New Roman"/>
          <w:color w:val="333333"/>
          <w:sz w:val="24"/>
          <w:szCs w:val="24"/>
          <w:lang w:eastAsia="en-US"/>
        </w:rPr>
        <w:t>, as other banks typically do.</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State Street customers earlier were told that fees were possible on accounts whose nonoperational balances had grown, the people familiar with the matter said. There is no minimum deposit size that triggers the fee, which varies and is applied case by case to new and existing clients, the people said.</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“The persistence of the current rate environment requires that we take action consistent with prudent financial management with certain accounts that continually maintain </w:t>
      </w:r>
      <w:r w:rsidRPr="00CD064D">
        <w:rPr>
          <w:rFonts w:ascii="Times New Roman" w:eastAsia="Times New Roman" w:hAnsi="Times New Roman" w:cs="Times New Roman"/>
          <w:color w:val="333333"/>
          <w:sz w:val="24"/>
          <w:szCs w:val="24"/>
          <w:highlight w:val="yellow"/>
          <w:lang w:eastAsia="en-US"/>
        </w:rPr>
        <w:t>significant excessive cash</w:t>
      </w:r>
      <w:r w:rsidRPr="00534641">
        <w:rPr>
          <w:rFonts w:ascii="Times New Roman" w:eastAsia="Times New Roman" w:hAnsi="Times New Roman" w:cs="Times New Roman"/>
          <w:color w:val="333333"/>
          <w:sz w:val="24"/>
          <w:szCs w:val="24"/>
          <w:lang w:eastAsia="en-US"/>
        </w:rPr>
        <w:t xml:space="preserve"> balances,” State Street said in a statement to The Wall Street Journal.</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CD064D">
        <w:rPr>
          <w:rFonts w:ascii="Times New Roman" w:eastAsia="Times New Roman" w:hAnsi="Times New Roman" w:cs="Times New Roman"/>
          <w:color w:val="333333"/>
          <w:sz w:val="24"/>
          <w:szCs w:val="24"/>
          <w:highlight w:val="yellow"/>
          <w:lang w:eastAsia="en-US"/>
        </w:rPr>
        <w:t>BNY Mellon</w:t>
      </w:r>
      <w:r w:rsidRPr="00534641">
        <w:rPr>
          <w:rFonts w:ascii="Times New Roman" w:eastAsia="Times New Roman" w:hAnsi="Times New Roman" w:cs="Times New Roman"/>
          <w:color w:val="333333"/>
          <w:sz w:val="24"/>
          <w:szCs w:val="24"/>
          <w:lang w:eastAsia="en-US"/>
        </w:rPr>
        <w:t xml:space="preserve"> </w:t>
      </w:r>
      <w:proofErr w:type="gramStart"/>
      <w:r w:rsidRPr="00CD064D">
        <w:rPr>
          <w:rFonts w:ascii="Times New Roman" w:eastAsia="Times New Roman" w:hAnsi="Times New Roman" w:cs="Times New Roman"/>
          <w:color w:val="333333"/>
          <w:sz w:val="24"/>
          <w:szCs w:val="24"/>
          <w:lang w:eastAsia="en-US"/>
        </w:rPr>
        <w:t>and</w:t>
      </w:r>
      <w:r w:rsidR="00CD064D" w:rsidRPr="00CD064D">
        <w:rPr>
          <w:rFonts w:ascii="Times New Roman" w:eastAsia="Times New Roman" w:hAnsi="Times New Roman" w:cs="Times New Roman"/>
          <w:color w:val="333333"/>
          <w:sz w:val="24"/>
          <w:szCs w:val="24"/>
          <w:lang w:eastAsia="en-US"/>
        </w:rPr>
        <w:t xml:space="preserve"> </w:t>
      </w:r>
      <w:r w:rsidRPr="00CD064D">
        <w:rPr>
          <w:rFonts w:ascii="Times New Roman" w:eastAsia="Times New Roman" w:hAnsi="Times New Roman" w:cs="Times New Roman"/>
          <w:color w:val="333333"/>
          <w:sz w:val="24"/>
          <w:szCs w:val="24"/>
          <w:highlight w:val="yellow"/>
          <w:lang w:eastAsia="en-US"/>
        </w:rPr>
        <w:t> </w:t>
      </w:r>
      <w:proofErr w:type="gramEnd"/>
      <w:hyperlink r:id="rId14" w:history="1">
        <w:r w:rsidRPr="00CD064D">
          <w:rPr>
            <w:rFonts w:ascii="Times New Roman" w:eastAsia="Times New Roman" w:hAnsi="Times New Roman" w:cs="Times New Roman"/>
            <w:color w:val="0080C3"/>
            <w:sz w:val="24"/>
            <w:szCs w:val="24"/>
            <w:highlight w:val="yellow"/>
            <w:lang w:eastAsia="en-US"/>
          </w:rPr>
          <w:t>Northern Trust</w:t>
        </w:r>
      </w:hyperlink>
      <w:r w:rsidRPr="00534641">
        <w:rPr>
          <w:rFonts w:ascii="Times New Roman" w:eastAsia="Times New Roman" w:hAnsi="Times New Roman" w:cs="Times New Roman"/>
          <w:color w:val="333333"/>
          <w:sz w:val="24"/>
          <w:szCs w:val="24"/>
          <w:lang w:eastAsia="en-US"/>
        </w:rPr>
        <w:t> </w:t>
      </w:r>
      <w:r w:rsidR="00CD064D">
        <w:rPr>
          <w:rFonts w:ascii="Times New Roman" w:eastAsia="Times New Roman" w:hAnsi="Times New Roman" w:cs="Times New Roman"/>
          <w:color w:val="333333"/>
          <w:sz w:val="24"/>
          <w:szCs w:val="24"/>
          <w:lang w:eastAsia="en-US"/>
        </w:rPr>
        <w:t xml:space="preserve"> </w:t>
      </w:r>
      <w:r w:rsidRPr="00534641">
        <w:rPr>
          <w:rFonts w:ascii="Times New Roman" w:eastAsia="Times New Roman" w:hAnsi="Times New Roman" w:cs="Times New Roman"/>
          <w:color w:val="333333"/>
          <w:sz w:val="24"/>
          <w:szCs w:val="24"/>
          <w:lang w:eastAsia="en-US"/>
        </w:rPr>
        <w:t>haven’t yet begun charging to hold clients’ cash, people familiar with the matter said. A</w:t>
      </w:r>
      <w:r w:rsidR="00CD064D">
        <w:rPr>
          <w:rFonts w:ascii="Times New Roman" w:eastAsia="Times New Roman" w:hAnsi="Times New Roman" w:cs="Times New Roman"/>
          <w:color w:val="333333"/>
          <w:sz w:val="24"/>
          <w:szCs w:val="24"/>
          <w:lang w:eastAsia="en-US"/>
        </w:rPr>
        <w:t xml:space="preserve"> </w:t>
      </w:r>
      <w:r w:rsidRPr="00534641">
        <w:rPr>
          <w:rFonts w:ascii="Times New Roman" w:eastAsia="Times New Roman" w:hAnsi="Times New Roman" w:cs="Times New Roman"/>
          <w:color w:val="333333"/>
          <w:sz w:val="24"/>
          <w:szCs w:val="24"/>
          <w:lang w:eastAsia="en-US"/>
        </w:rPr>
        <w:t> </w:t>
      </w:r>
      <w:hyperlink r:id="rId15" w:history="1">
        <w:r w:rsidRPr="00CD064D">
          <w:rPr>
            <w:rFonts w:ascii="Times New Roman" w:eastAsia="Times New Roman" w:hAnsi="Times New Roman" w:cs="Times New Roman"/>
            <w:color w:val="0080C3"/>
            <w:sz w:val="24"/>
            <w:szCs w:val="24"/>
            <w:highlight w:val="yellow"/>
            <w:lang w:eastAsia="en-US"/>
          </w:rPr>
          <w:t>Bank of New York</w:t>
        </w:r>
      </w:hyperlink>
      <w:r w:rsidRPr="00534641">
        <w:rPr>
          <w:rFonts w:ascii="Times New Roman" w:eastAsia="Times New Roman" w:hAnsi="Times New Roman" w:cs="Times New Roman"/>
          <w:color w:val="333333"/>
          <w:sz w:val="24"/>
          <w:szCs w:val="24"/>
          <w:lang w:eastAsia="en-US"/>
        </w:rPr>
        <w:t> </w:t>
      </w:r>
      <w:r w:rsidR="00CD064D">
        <w:rPr>
          <w:rFonts w:ascii="Times New Roman" w:eastAsia="Times New Roman" w:hAnsi="Times New Roman" w:cs="Times New Roman"/>
          <w:color w:val="333333"/>
          <w:sz w:val="24"/>
          <w:szCs w:val="24"/>
          <w:lang w:eastAsia="en-US"/>
        </w:rPr>
        <w:t xml:space="preserve"> </w:t>
      </w:r>
      <w:r w:rsidRPr="00534641">
        <w:rPr>
          <w:rFonts w:ascii="Times New Roman" w:eastAsia="Times New Roman" w:hAnsi="Times New Roman" w:cs="Times New Roman"/>
          <w:color w:val="333333"/>
          <w:sz w:val="24"/>
          <w:szCs w:val="24"/>
          <w:lang w:eastAsia="en-US"/>
        </w:rPr>
        <w:t xml:space="preserve">spokesman said the bank hasn’t ruled out </w:t>
      </w:r>
      <w:r w:rsidRPr="00534641">
        <w:rPr>
          <w:rFonts w:ascii="Times New Roman" w:eastAsia="Times New Roman" w:hAnsi="Times New Roman" w:cs="Times New Roman"/>
          <w:color w:val="333333"/>
          <w:sz w:val="24"/>
          <w:szCs w:val="24"/>
          <w:lang w:eastAsia="en-US"/>
        </w:rPr>
        <w:lastRenderedPageBreak/>
        <w:t>doing so in the future. The fees at J.P. Morgan don’t apply to clients of its custody business, a person familiar with the bank said.</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Northern Trust has been taking a “transaction by transaction approach” to accepting very large deposits from clients approaching the bank, said Chief Financial Officer S. Biff Bowman on the bank’s second-quarter earnings call in July. A Northern Trust spokesman declined to say whether charges were a possibility in the future.</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 xml:space="preserve">State Street and others </w:t>
      </w:r>
      <w:r w:rsidRPr="00CD064D">
        <w:rPr>
          <w:rFonts w:ascii="Times New Roman" w:eastAsia="Times New Roman" w:hAnsi="Times New Roman" w:cs="Times New Roman"/>
          <w:color w:val="333333"/>
          <w:sz w:val="24"/>
          <w:szCs w:val="24"/>
          <w:highlight w:val="yellow"/>
          <w:lang w:eastAsia="en-US"/>
        </w:rPr>
        <w:t>have charged clients on some large euro deposits for more than a year</w:t>
      </w:r>
      <w:r w:rsidRPr="00534641">
        <w:rPr>
          <w:rFonts w:ascii="Times New Roman" w:eastAsia="Times New Roman" w:hAnsi="Times New Roman" w:cs="Times New Roman"/>
          <w:color w:val="333333"/>
          <w:sz w:val="24"/>
          <w:szCs w:val="24"/>
          <w:lang w:eastAsia="en-US"/>
        </w:rPr>
        <w:t>, reflecting a negative interest rate on overnight deposits at the European Central Bank.</w:t>
      </w:r>
    </w:p>
    <w:p w:rsidR="00534641" w:rsidRPr="00534641" w:rsidRDefault="00534641" w:rsidP="00534641">
      <w:pPr>
        <w:spacing w:after="27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In 2011, BNY Mellon set plans to charge a small number of clients for holding their cash, reflecting in part a large flow of deposits triggered by investors’ flight to safety that summer. The bank rolled back the plan without imposing fees after some clients pulled money.</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color w:val="333333"/>
          <w:sz w:val="24"/>
          <w:szCs w:val="24"/>
          <w:lang w:eastAsia="en-US"/>
        </w:rPr>
        <w:t>Since last year</w:t>
      </w:r>
      <w:r w:rsidRPr="00CD064D">
        <w:rPr>
          <w:rFonts w:ascii="Times New Roman" w:eastAsia="Times New Roman" w:hAnsi="Times New Roman" w:cs="Times New Roman"/>
          <w:color w:val="333333"/>
          <w:sz w:val="24"/>
          <w:szCs w:val="24"/>
          <w:highlight w:val="yellow"/>
          <w:lang w:eastAsia="en-US"/>
        </w:rPr>
        <w:t>, </w:t>
      </w:r>
      <w:hyperlink r:id="rId16" w:history="1">
        <w:r w:rsidRPr="00CD064D">
          <w:rPr>
            <w:rFonts w:ascii="Times New Roman" w:eastAsia="Times New Roman" w:hAnsi="Times New Roman" w:cs="Times New Roman"/>
            <w:color w:val="0080C3"/>
            <w:sz w:val="24"/>
            <w:szCs w:val="24"/>
            <w:highlight w:val="yellow"/>
            <w:lang w:eastAsia="en-US"/>
          </w:rPr>
          <w:t>Bank of America</w:t>
        </w:r>
      </w:hyperlink>
      <w:r w:rsidRPr="00CD064D">
        <w:rPr>
          <w:rFonts w:ascii="Times New Roman" w:eastAsia="Times New Roman" w:hAnsi="Times New Roman" w:cs="Times New Roman"/>
          <w:color w:val="333333"/>
          <w:sz w:val="24"/>
          <w:szCs w:val="24"/>
          <w:highlight w:val="yellow"/>
          <w:bdr w:val="none" w:sz="0" w:space="0" w:color="auto" w:frame="1"/>
          <w:lang w:eastAsia="en-US"/>
        </w:rPr>
        <w:t> Corp.</w:t>
      </w:r>
      <w:r w:rsidRPr="00534641">
        <w:rPr>
          <w:rFonts w:ascii="Times New Roman" w:eastAsia="Times New Roman" w:hAnsi="Times New Roman" w:cs="Times New Roman"/>
          <w:color w:val="333333"/>
          <w:sz w:val="24"/>
          <w:szCs w:val="24"/>
          <w:lang w:eastAsia="en-US"/>
        </w:rPr>
        <w:t> has told some institutional clients that they will need to move their deposits or pay to keep them at the bank, people familiar with the matter said. Top executives decided to approach clients that didn’t do other business with the bank.</w:t>
      </w:r>
    </w:p>
    <w:p w:rsidR="00534641" w:rsidRPr="00534641" w:rsidRDefault="00534641" w:rsidP="00534641">
      <w:pPr>
        <w:spacing w:after="270" w:line="420" w:lineRule="atLeast"/>
        <w:textAlignment w:val="baseline"/>
        <w:rPr>
          <w:rFonts w:ascii="Times New Roman" w:eastAsia="Times New Roman" w:hAnsi="Times New Roman" w:cs="Times New Roman"/>
          <w:i/>
          <w:iCs/>
          <w:color w:val="333333"/>
          <w:sz w:val="24"/>
          <w:szCs w:val="24"/>
          <w:lang w:eastAsia="en-US"/>
        </w:rPr>
      </w:pPr>
      <w:r w:rsidRPr="00534641">
        <w:rPr>
          <w:rFonts w:ascii="Times New Roman" w:eastAsia="Times New Roman" w:hAnsi="Times New Roman" w:cs="Times New Roman"/>
          <w:i/>
          <w:iCs/>
          <w:color w:val="333333"/>
          <w:sz w:val="24"/>
          <w:szCs w:val="24"/>
          <w:lang w:eastAsia="en-US"/>
        </w:rPr>
        <w:t xml:space="preserve">—Christina </w:t>
      </w:r>
      <w:proofErr w:type="spellStart"/>
      <w:r w:rsidRPr="00534641">
        <w:rPr>
          <w:rFonts w:ascii="Times New Roman" w:eastAsia="Times New Roman" w:hAnsi="Times New Roman" w:cs="Times New Roman"/>
          <w:i/>
          <w:iCs/>
          <w:color w:val="333333"/>
          <w:sz w:val="24"/>
          <w:szCs w:val="24"/>
          <w:lang w:eastAsia="en-US"/>
        </w:rPr>
        <w:t>Rexrode</w:t>
      </w:r>
      <w:proofErr w:type="spellEnd"/>
      <w:r w:rsidRPr="00534641">
        <w:rPr>
          <w:rFonts w:ascii="Times New Roman" w:eastAsia="Times New Roman" w:hAnsi="Times New Roman" w:cs="Times New Roman"/>
          <w:i/>
          <w:iCs/>
          <w:color w:val="333333"/>
          <w:sz w:val="24"/>
          <w:szCs w:val="24"/>
          <w:lang w:eastAsia="en-US"/>
        </w:rPr>
        <w:t xml:space="preserve"> contributed to this article.</w:t>
      </w:r>
    </w:p>
    <w:p w:rsidR="00534641" w:rsidRPr="00534641" w:rsidRDefault="00534641" w:rsidP="00534641">
      <w:pPr>
        <w:spacing w:after="0" w:line="420" w:lineRule="atLeast"/>
        <w:textAlignment w:val="baseline"/>
        <w:rPr>
          <w:rFonts w:ascii="Times New Roman" w:eastAsia="Times New Roman" w:hAnsi="Times New Roman" w:cs="Times New Roman"/>
          <w:color w:val="333333"/>
          <w:sz w:val="24"/>
          <w:szCs w:val="24"/>
          <w:lang w:eastAsia="en-US"/>
        </w:rPr>
      </w:pPr>
      <w:r w:rsidRPr="00534641">
        <w:rPr>
          <w:rFonts w:ascii="Times New Roman" w:eastAsia="Times New Roman" w:hAnsi="Times New Roman" w:cs="Times New Roman"/>
          <w:b/>
          <w:bCs/>
          <w:color w:val="333333"/>
          <w:sz w:val="24"/>
          <w:szCs w:val="24"/>
          <w:bdr w:val="none" w:sz="0" w:space="0" w:color="auto" w:frame="1"/>
          <w:lang w:eastAsia="en-US"/>
        </w:rPr>
        <w:t>Write to </w:t>
      </w:r>
      <w:r w:rsidRPr="00534641">
        <w:rPr>
          <w:rFonts w:ascii="Times New Roman" w:eastAsia="Times New Roman" w:hAnsi="Times New Roman" w:cs="Times New Roman"/>
          <w:color w:val="333333"/>
          <w:sz w:val="24"/>
          <w:szCs w:val="24"/>
          <w:lang w:eastAsia="en-US"/>
        </w:rPr>
        <w:t>Juliet Chung at </w:t>
      </w:r>
      <w:hyperlink r:id="rId17" w:tgtFrame="_blank" w:history="1">
        <w:r w:rsidRPr="00534641">
          <w:rPr>
            <w:rFonts w:ascii="Times New Roman" w:eastAsia="Times New Roman" w:hAnsi="Times New Roman" w:cs="Times New Roman"/>
            <w:color w:val="0080C3"/>
            <w:sz w:val="24"/>
            <w:szCs w:val="24"/>
            <w:lang w:eastAsia="en-US"/>
          </w:rPr>
          <w:t>juliet.chung@wsj.com</w:t>
        </w:r>
      </w:hyperlink>
      <w:r w:rsidRPr="00534641">
        <w:rPr>
          <w:rFonts w:ascii="Times New Roman" w:eastAsia="Times New Roman" w:hAnsi="Times New Roman" w:cs="Times New Roman"/>
          <w:color w:val="333333"/>
          <w:sz w:val="24"/>
          <w:szCs w:val="24"/>
          <w:lang w:eastAsia="en-US"/>
        </w:rPr>
        <w:t xml:space="preserve"> and Sarah </w:t>
      </w:r>
      <w:proofErr w:type="spellStart"/>
      <w:r w:rsidRPr="00534641">
        <w:rPr>
          <w:rFonts w:ascii="Times New Roman" w:eastAsia="Times New Roman" w:hAnsi="Times New Roman" w:cs="Times New Roman"/>
          <w:color w:val="333333"/>
          <w:sz w:val="24"/>
          <w:szCs w:val="24"/>
          <w:lang w:eastAsia="en-US"/>
        </w:rPr>
        <w:t>Krouse</w:t>
      </w:r>
      <w:proofErr w:type="spellEnd"/>
      <w:r w:rsidRPr="00534641">
        <w:rPr>
          <w:rFonts w:ascii="Times New Roman" w:eastAsia="Times New Roman" w:hAnsi="Times New Roman" w:cs="Times New Roman"/>
          <w:color w:val="333333"/>
          <w:sz w:val="24"/>
          <w:szCs w:val="24"/>
          <w:lang w:eastAsia="en-US"/>
        </w:rPr>
        <w:t xml:space="preserve"> at</w:t>
      </w:r>
      <w:hyperlink r:id="rId18" w:tgtFrame="_blank" w:history="1">
        <w:r w:rsidRPr="00534641">
          <w:rPr>
            <w:rFonts w:ascii="Times New Roman" w:eastAsia="Times New Roman" w:hAnsi="Times New Roman" w:cs="Times New Roman"/>
            <w:color w:val="0080C3"/>
            <w:sz w:val="24"/>
            <w:szCs w:val="24"/>
            <w:lang w:eastAsia="en-US"/>
          </w:rPr>
          <w:t>sarah.krouse@wsj.com</w:t>
        </w:r>
      </w:hyperlink>
    </w:p>
    <w:p w:rsidR="00534641" w:rsidRPr="00534641" w:rsidRDefault="00534641" w:rsidP="00534641"/>
    <w:sectPr w:rsidR="00534641" w:rsidRPr="005346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AA5563D"/>
    <w:multiLevelType w:val="hybridMultilevel"/>
    <w:tmpl w:val="7636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41"/>
    <w:rsid w:val="000D7FE3"/>
    <w:rsid w:val="00452A83"/>
    <w:rsid w:val="00454DFB"/>
    <w:rsid w:val="00534641"/>
    <w:rsid w:val="007B022E"/>
    <w:rsid w:val="008805AD"/>
    <w:rsid w:val="009050BA"/>
    <w:rsid w:val="00AA2126"/>
    <w:rsid w:val="00C83241"/>
    <w:rsid w:val="00CD064D"/>
    <w:rsid w:val="00D53EBA"/>
    <w:rsid w:val="00F8557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BEC5-0588-41A7-8A35-2E61D354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53464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534641"/>
  </w:style>
  <w:style w:type="character" w:styleId="Hyperlink">
    <w:name w:val="Hyperlink"/>
    <w:basedOn w:val="DefaultParagraphFont"/>
    <w:uiPriority w:val="99"/>
    <w:unhideWhenUsed/>
    <w:rsid w:val="00534641"/>
    <w:rPr>
      <w:color w:val="0000FF"/>
      <w:u w:val="single"/>
    </w:rPr>
  </w:style>
  <w:style w:type="character" w:customStyle="1" w:styleId="company-name-type">
    <w:name w:val="company-name-type"/>
    <w:basedOn w:val="DefaultParagraphFont"/>
    <w:rsid w:val="00534641"/>
  </w:style>
  <w:style w:type="paragraph" w:customStyle="1" w:styleId="articletagline">
    <w:name w:val="articletagline"/>
    <w:basedOn w:val="Normal"/>
    <w:rsid w:val="0053464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image-enlarge">
    <w:name w:val="image-enlarge"/>
    <w:basedOn w:val="DefaultParagraphFont"/>
    <w:rsid w:val="0053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79612">
      <w:bodyDiv w:val="1"/>
      <w:marLeft w:val="0"/>
      <w:marRight w:val="0"/>
      <w:marTop w:val="0"/>
      <w:marBottom w:val="0"/>
      <w:divBdr>
        <w:top w:val="none" w:sz="0" w:space="0" w:color="auto"/>
        <w:left w:val="none" w:sz="0" w:space="0" w:color="auto"/>
        <w:bottom w:val="none" w:sz="0" w:space="0" w:color="auto"/>
        <w:right w:val="none" w:sz="0" w:space="0" w:color="auto"/>
      </w:divBdr>
      <w:divsChild>
        <w:div w:id="1398745872">
          <w:marLeft w:val="0"/>
          <w:marRight w:val="450"/>
          <w:marTop w:val="45"/>
          <w:marBottom w:val="345"/>
          <w:divBdr>
            <w:top w:val="none" w:sz="0" w:space="0" w:color="auto"/>
            <w:left w:val="none" w:sz="0" w:space="0" w:color="auto"/>
            <w:bottom w:val="none" w:sz="0" w:space="0" w:color="auto"/>
            <w:right w:val="none" w:sz="0" w:space="0" w:color="auto"/>
          </w:divBdr>
          <w:divsChild>
            <w:div w:id="1974478326">
              <w:marLeft w:val="0"/>
              <w:marRight w:val="0"/>
              <w:marTop w:val="0"/>
              <w:marBottom w:val="0"/>
              <w:divBdr>
                <w:top w:val="none" w:sz="0" w:space="0" w:color="auto"/>
                <w:left w:val="none" w:sz="0" w:space="0" w:color="auto"/>
                <w:bottom w:val="none" w:sz="0" w:space="0" w:color="auto"/>
                <w:right w:val="none" w:sz="0" w:space="0" w:color="auto"/>
              </w:divBdr>
              <w:divsChild>
                <w:div w:id="7935191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8859534">
      <w:bodyDiv w:val="1"/>
      <w:marLeft w:val="0"/>
      <w:marRight w:val="0"/>
      <w:marTop w:val="0"/>
      <w:marBottom w:val="0"/>
      <w:divBdr>
        <w:top w:val="none" w:sz="0" w:space="0" w:color="auto"/>
        <w:left w:val="none" w:sz="0" w:space="0" w:color="auto"/>
        <w:bottom w:val="none" w:sz="0" w:space="0" w:color="auto"/>
        <w:right w:val="none" w:sz="0" w:space="0" w:color="auto"/>
      </w:divBdr>
    </w:div>
    <w:div w:id="2135562143">
      <w:bodyDiv w:val="1"/>
      <w:marLeft w:val="0"/>
      <w:marRight w:val="0"/>
      <w:marTop w:val="0"/>
      <w:marBottom w:val="0"/>
      <w:divBdr>
        <w:top w:val="none" w:sz="0" w:space="0" w:color="auto"/>
        <w:left w:val="none" w:sz="0" w:space="0" w:color="auto"/>
        <w:bottom w:val="none" w:sz="0" w:space="0" w:color="auto"/>
        <w:right w:val="none" w:sz="0" w:space="0" w:color="auto"/>
      </w:divBdr>
      <w:divsChild>
        <w:div w:id="1926304883">
          <w:marLeft w:val="0"/>
          <w:marRight w:val="0"/>
          <w:marTop w:val="0"/>
          <w:marBottom w:val="0"/>
          <w:divBdr>
            <w:top w:val="none" w:sz="0" w:space="0" w:color="auto"/>
            <w:left w:val="none" w:sz="0" w:space="0" w:color="auto"/>
            <w:bottom w:val="none" w:sz="0" w:space="0" w:color="auto"/>
            <w:right w:val="none" w:sz="0" w:space="0" w:color="auto"/>
          </w:divBdr>
          <w:divsChild>
            <w:div w:id="18933412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JPM" TargetMode="External"/><Relationship Id="rId13" Type="http://schemas.openxmlformats.org/officeDocument/2006/relationships/hyperlink" Target="http://quotes.wsj.com/CS" TargetMode="External"/><Relationship Id="rId18" Type="http://schemas.openxmlformats.org/officeDocument/2006/relationships/hyperlink" Target="mailto:sarah.krouse@wsj.com" TargetMode="External"/><Relationship Id="rId3" Type="http://schemas.openxmlformats.org/officeDocument/2006/relationships/styles" Target="styles.xml"/><Relationship Id="rId7" Type="http://schemas.openxmlformats.org/officeDocument/2006/relationships/hyperlink" Target="http://quotes.wsj.com/STT" TargetMode="External"/><Relationship Id="rId12" Type="http://schemas.openxmlformats.org/officeDocument/2006/relationships/image" Target="media/image1.jpeg"/><Relationship Id="rId17" Type="http://schemas.openxmlformats.org/officeDocument/2006/relationships/hyperlink" Target="mailto:juliet.chung@wsj.com" TargetMode="External"/><Relationship Id="rId2" Type="http://schemas.openxmlformats.org/officeDocument/2006/relationships/numbering" Target="numbering.xml"/><Relationship Id="rId16" Type="http://schemas.openxmlformats.org/officeDocument/2006/relationships/hyperlink" Target="http://quotes.wsj.com/B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wsj.com/articles/big-banks-to-americas-companies-we-dont-want-your-cash-1445161083" TargetMode="External"/><Relationship Id="rId11" Type="http://schemas.openxmlformats.org/officeDocument/2006/relationships/hyperlink" Target="http://www.wsj.com/articles/dodd-frank-creators-on-wall-street-reform-five-years-later-1437347191" TargetMode="External"/><Relationship Id="rId5" Type="http://schemas.openxmlformats.org/officeDocument/2006/relationships/webSettings" Target="webSettings.xml"/><Relationship Id="rId15" Type="http://schemas.openxmlformats.org/officeDocument/2006/relationships/hyperlink" Target="http://quotes.wsj.com/BK" TargetMode="External"/><Relationship Id="rId10" Type="http://schemas.openxmlformats.org/officeDocument/2006/relationships/hyperlink" Target="http://www.wsj.com/articles/trading-hits-goldman-sachs-hardest-14449536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sj.com/articles/basel-committee-outlines-interest-rate-risk-plan-1433770050" TargetMode="External"/><Relationship Id="rId14" Type="http://schemas.openxmlformats.org/officeDocument/2006/relationships/hyperlink" Target="http://quotes.wsj.com/NT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73</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dc:creator>
  <cp:keywords/>
  <cp:lastModifiedBy>Fred</cp:lastModifiedBy>
  <cp:revision>7</cp:revision>
  <dcterms:created xsi:type="dcterms:W3CDTF">2015-10-18T14:57:00Z</dcterms:created>
  <dcterms:modified xsi:type="dcterms:W3CDTF">2015-10-18T16:16:00Z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